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77425"/>
      <w:bookmarkStart w:id="3" w:name="_Toc15396475"/>
      <w:bookmarkStart w:id="4" w:name="_Toc15396597"/>
      <w:bookmarkStart w:id="5"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476"/>
      <w:bookmarkStart w:id="7" w:name="_Toc15378442"/>
      <w:bookmarkStart w:id="8" w:name="_Toc15377194"/>
      <w:bookmarkStart w:id="9" w:name="_Toc15396598"/>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听力语言康复中心</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lang w:val="en-US" w:eastAsia="zh-CN"/>
        </w:rPr>
        <w:t>..........................................第3页</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hint="eastAsia"/>
          <w:color w:val="auto"/>
          <w:sz w:val="24"/>
          <w:highlight w:val="none"/>
          <w:lang w:val="en-US" w:eastAsia="zh-CN"/>
        </w:rPr>
        <w:t>.......................................................................................第4页</w:t>
      </w:r>
    </w:p>
    <w:p>
      <w:pPr>
        <w:pStyle w:val="11"/>
        <w:adjustRightInd w:val="0"/>
        <w:snapToGrid w:val="0"/>
        <w:spacing w:line="440" w:lineRule="exact"/>
        <w:jc w:val="left"/>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hint="eastAsia"/>
          <w:color w:val="auto"/>
          <w:sz w:val="24"/>
          <w:highlight w:val="none"/>
          <w:lang w:val="en-US" w:eastAsia="zh-CN"/>
        </w:rPr>
        <w:t>..........................................................第4页</w:t>
      </w:r>
    </w:p>
    <w:p>
      <w:pPr>
        <w:pStyle w:val="10"/>
        <w:adjustRightInd w:val="0"/>
        <w:snapToGrid w:val="0"/>
        <w:spacing w:before="0" w:line="440" w:lineRule="exact"/>
        <w:jc w:val="left"/>
        <w:rPr>
          <w:rFonts w:hint="default"/>
          <w:color w:val="auto"/>
          <w:sz w:val="24"/>
          <w:szCs w:val="24"/>
          <w:highlight w:val="none"/>
          <w:lang w:val="en-US"/>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val="en-US" w:eastAsia="zh-CN"/>
        </w:rPr>
        <w:t>.........................第5页</w:t>
      </w:r>
    </w:p>
    <w:p>
      <w:pPr>
        <w:pStyle w:val="11"/>
        <w:adjustRightInd w:val="0"/>
        <w:snapToGrid w:val="0"/>
        <w:spacing w:line="440" w:lineRule="exact"/>
        <w:jc w:val="left"/>
        <w:rPr>
          <w:rFonts w:hint="eastAsia"/>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......................................................第5页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r>
        <w:rPr>
          <w:rFonts w:hint="eastAsia"/>
          <w:color w:val="auto"/>
          <w:sz w:val="24"/>
          <w:highlight w:val="none"/>
          <w:lang w:val="en-US" w:eastAsia="zh-CN"/>
        </w:rPr>
        <w:t>......................................................................第5页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r>
        <w:rPr>
          <w:rFonts w:hint="eastAsia"/>
          <w:color w:val="auto"/>
          <w:sz w:val="24"/>
          <w:highlight w:val="none"/>
          <w:lang w:val="en-US" w:eastAsia="zh-CN"/>
        </w:rPr>
        <w:t>.....................................................................第6页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r>
        <w:rPr>
          <w:rFonts w:hint="eastAsia"/>
          <w:color w:val="auto"/>
          <w:sz w:val="24"/>
          <w:highlight w:val="none"/>
          <w:lang w:val="en-US" w:eastAsia="zh-CN"/>
        </w:rPr>
        <w:t>.....................................第7页.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r>
        <w:rPr>
          <w:rFonts w:hint="eastAsia"/>
          <w:color w:val="auto"/>
          <w:sz w:val="24"/>
          <w:highlight w:val="none"/>
          <w:lang w:val="en-US" w:eastAsia="zh-CN"/>
        </w:rPr>
        <w:t>.............................第8页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r>
        <w:rPr>
          <w:rFonts w:hint="eastAsia"/>
          <w:color w:val="auto"/>
          <w:sz w:val="24"/>
          <w:highlight w:val="none"/>
          <w:lang w:val="en-US" w:eastAsia="zh-CN"/>
        </w:rPr>
        <w:t>.....................第10页.</w:t>
      </w:r>
    </w:p>
    <w:p>
      <w:pPr>
        <w:pStyle w:val="11"/>
        <w:adjustRightInd w:val="0"/>
        <w:snapToGrid w:val="0"/>
        <w:spacing w:line="440" w:lineRule="exact"/>
        <w:jc w:val="left"/>
        <w:rPr>
          <w:rFonts w:hint="eastAsia"/>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val="en-US" w:eastAsia="zh-CN"/>
        </w:rPr>
        <w:t>...............................第10页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r>
        <w:rPr>
          <w:rFonts w:hint="eastAsia"/>
          <w:color w:val="auto"/>
          <w:sz w:val="24"/>
          <w:highlight w:val="none"/>
          <w:lang w:val="en-US" w:eastAsia="zh-CN"/>
        </w:rPr>
        <w:t>........................................第11页.</w:t>
      </w:r>
    </w:p>
    <w:p>
      <w:pPr>
        <w:pStyle w:val="11"/>
        <w:adjustRightInd w:val="0"/>
        <w:snapToGrid w:val="0"/>
        <w:spacing w:line="440" w:lineRule="exact"/>
        <w:jc w:val="left"/>
        <w:rPr>
          <w:rFonts w:hint="eastAsia"/>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val="en-US" w:eastAsia="zh-CN"/>
        </w:rPr>
        <w:t>....................................第11页</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r>
        <w:rPr>
          <w:rFonts w:hint="eastAsia"/>
          <w:color w:val="auto"/>
          <w:sz w:val="24"/>
          <w:highlight w:val="none"/>
          <w:lang w:val="en-US" w:eastAsia="zh-CN"/>
        </w:rPr>
        <w:t>........................................................第11页</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........................................第13页</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............................................第16页</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............................................第17页</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6"/>
          <w:rFonts w:hint="eastAsia" w:ascii="黑体" w:hAnsi="黑体" w:eastAsia="黑体"/>
          <w:b w:val="0"/>
          <w:bCs w:val="0"/>
          <w:color w:val="auto"/>
          <w:highlight w:val="none"/>
          <w:lang w:eastAsia="zh-CN"/>
        </w:rPr>
      </w:pPr>
      <w:bookmarkStart w:id="14" w:name="_Toc15396600"/>
      <w:bookmarkStart w:id="15" w:name="_Toc15377197"/>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p>
    <w:p>
      <w:pPr>
        <w:pStyle w:val="4"/>
        <w:ind w:firstLine="640" w:firstLineChars="200"/>
        <w:rPr>
          <w:rFonts w:ascii="黑体" w:hAnsi="黑体" w:eastAsia="黑体"/>
          <w:b w:val="0"/>
          <w:bCs w:val="0"/>
          <w:color w:val="FF0000"/>
        </w:rPr>
      </w:pPr>
      <w:r>
        <w:rPr>
          <w:rFonts w:hint="eastAsia" w:ascii="仿宋" w:hAnsi="仿宋" w:eastAsia="仿宋" w:cs="Times New Roman"/>
          <w:b w:val="0"/>
        </w:rPr>
        <w:t>开展</w:t>
      </w:r>
      <w:r>
        <w:rPr>
          <w:rFonts w:ascii="仿宋" w:hAnsi="仿宋" w:eastAsia="仿宋" w:cs="Times New Roman"/>
          <w:b w:val="0"/>
        </w:rPr>
        <w:t>学前教育，承担学龄前听障儿童听觉干预、听觉言语康复、言语矫治等康复服务，听力语言残疾人听力语言康复服务，以及相关技术人才培养等工作</w:t>
      </w:r>
      <w:r>
        <w:rPr>
          <w:rFonts w:hint="eastAsia" w:ascii="仿宋" w:hAnsi="仿宋" w:eastAsia="仿宋" w:cs="Times New Roman"/>
          <w:b w:val="0"/>
        </w:rPr>
        <w:t>。</w:t>
      </w:r>
    </w:p>
    <w:p>
      <w:pPr>
        <w:pStyle w:val="4"/>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numPr>
          <w:ilvl w:val="0"/>
          <w:numId w:val="0"/>
        </w:numPr>
        <w:spacing w:line="580" w:lineRule="exact"/>
        <w:ind w:firstLine="640" w:firstLineChars="200"/>
        <w:rPr>
          <w:rFonts w:hint="eastAsia" w:ascii="仿宋_GB2312" w:hAnsi="仿宋" w:eastAsia="仿宋_GB2312" w:cs="仿宋"/>
          <w:spacing w:val="10"/>
          <w:sz w:val="32"/>
          <w:szCs w:val="32"/>
        </w:rPr>
      </w:pPr>
      <w:r>
        <w:rPr>
          <w:rFonts w:hint="eastAsia" w:ascii="CESI楷体-GB2312" w:hAnsi="CESI楷体-GB2312" w:eastAsia="CESI楷体-GB2312" w:cs="CESI楷体-GB2312"/>
          <w:b w:val="0"/>
          <w:color w:val="auto"/>
          <w:sz w:val="32"/>
          <w:szCs w:val="32"/>
          <w:highlight w:val="none"/>
          <w:lang w:val="en-US" w:eastAsia="zh-CN"/>
        </w:rPr>
        <w:t>(一)残疾儿童训练。</w:t>
      </w:r>
      <w:r>
        <w:rPr>
          <w:rFonts w:hint="eastAsia" w:ascii="仿宋_GB2312" w:hAnsi="仿宋" w:eastAsia="仿宋_GB2312" w:cs="仿宋"/>
          <w:spacing w:val="10"/>
          <w:sz w:val="32"/>
          <w:szCs w:val="32"/>
        </w:rPr>
        <w:t>全年共对324人次听障儿童实施了康复训练，同比增加了70%。各康复训练班级在学期初、学期末分别召开家长会，按照既定学期计划开展各项教学活动，组织幼儿地震演练等教育活动。</w:t>
      </w:r>
    </w:p>
    <w:p>
      <w:pPr>
        <w:pStyle w:val="2"/>
        <w:numPr>
          <w:ilvl w:val="0"/>
          <w:numId w:val="0"/>
        </w:numPr>
        <w:spacing w:line="580" w:lineRule="exact"/>
        <w:ind w:firstLine="640" w:firstLineChars="200"/>
        <w:rPr>
          <w:rFonts w:hint="eastAsia" w:ascii="仿宋_GB2312" w:hAnsi="仿宋" w:eastAsia="仿宋_GB2312" w:cs="仿宋"/>
          <w:spacing w:val="10"/>
          <w:sz w:val="32"/>
          <w:szCs w:val="32"/>
        </w:rPr>
      </w:pPr>
      <w:r>
        <w:rPr>
          <w:rFonts w:hint="eastAsia" w:ascii="CESI楷体-GB2312" w:hAnsi="CESI楷体-GB2312" w:eastAsia="CESI楷体-GB2312" w:cs="CESI楷体-GB2312"/>
          <w:b w:val="0"/>
          <w:color w:val="auto"/>
          <w:kern w:val="2"/>
          <w:sz w:val="32"/>
          <w:szCs w:val="32"/>
          <w:highlight w:val="none"/>
          <w:lang w:val="en-US" w:eastAsia="zh-CN" w:bidi="ar-SA"/>
        </w:rPr>
        <w:t>（二）新增0-3岁小龄听障儿童预约单训服务内容。</w:t>
      </w:r>
      <w:r>
        <w:rPr>
          <w:rFonts w:hint="eastAsia" w:ascii="仿宋_GB2312" w:hAnsi="仿宋" w:eastAsia="仿宋_GB2312" w:cs="仿宋"/>
          <w:spacing w:val="10"/>
          <w:sz w:val="32"/>
          <w:szCs w:val="32"/>
        </w:rPr>
        <w:t>成功实现扩大服务面，增加服务收益。全年共为30余名幼儿提供一对一康复服务。</w:t>
      </w:r>
    </w:p>
    <w:p>
      <w:pPr>
        <w:spacing w:line="580" w:lineRule="exact"/>
        <w:ind w:firstLine="640" w:firstLineChars="200"/>
        <w:rPr>
          <w:rFonts w:hint="eastAsia" w:ascii="CESI楷体-GB2312" w:hAnsi="CESI楷体-GB2312" w:eastAsia="CESI楷体-GB2312" w:cs="CESI楷体-GB2312"/>
          <w:b w:val="0"/>
          <w:color w:val="auto"/>
          <w:kern w:val="2"/>
          <w:sz w:val="32"/>
          <w:szCs w:val="32"/>
          <w:highlight w:val="none"/>
          <w:lang w:val="en-US" w:eastAsia="zh-CN" w:bidi="ar-SA"/>
        </w:rPr>
      </w:pPr>
      <w:r>
        <w:rPr>
          <w:rFonts w:hint="eastAsia" w:ascii="CESI楷体-GB2312" w:hAnsi="CESI楷体-GB2312" w:eastAsia="CESI楷体-GB2312" w:cs="CESI楷体-GB2312"/>
          <w:b w:val="0"/>
          <w:color w:val="auto"/>
          <w:kern w:val="2"/>
          <w:sz w:val="32"/>
          <w:szCs w:val="32"/>
          <w:highlight w:val="none"/>
          <w:lang w:val="en-US" w:eastAsia="zh-CN" w:bidi="ar-SA"/>
        </w:rPr>
        <w:t>（三）坚持以残疾人为中心的理论，服务基层，拓展业</w:t>
      </w:r>
    </w:p>
    <w:p>
      <w:pPr>
        <w:spacing w:line="580" w:lineRule="exact"/>
        <w:rPr>
          <w:rFonts w:hint="eastAsia" w:ascii="仿宋_GB2312" w:hAnsi="仿宋" w:eastAsia="仿宋_GB2312"/>
          <w:b w:val="0"/>
          <w:bCs/>
          <w:spacing w:val="10"/>
          <w:sz w:val="32"/>
          <w:szCs w:val="32"/>
          <w:lang w:eastAsia="zh-CN"/>
        </w:rPr>
      </w:pPr>
      <w:r>
        <w:rPr>
          <w:rFonts w:hint="eastAsia" w:ascii="CESI楷体-GB2312" w:hAnsi="CESI楷体-GB2312" w:eastAsia="CESI楷体-GB2312" w:cs="CESI楷体-GB2312"/>
          <w:b w:val="0"/>
          <w:color w:val="auto"/>
          <w:kern w:val="2"/>
          <w:sz w:val="32"/>
          <w:szCs w:val="32"/>
          <w:highlight w:val="none"/>
          <w:lang w:val="en-US" w:eastAsia="zh-CN" w:bidi="ar-SA"/>
        </w:rPr>
        <w:t>务。</w:t>
      </w:r>
      <w:r>
        <w:rPr>
          <w:rFonts w:hint="eastAsia" w:ascii="仿宋_GB2312" w:hAnsi="仿宋" w:eastAsia="仿宋_GB2312"/>
          <w:b w:val="0"/>
          <w:bCs/>
          <w:spacing w:val="10"/>
          <w:sz w:val="32"/>
          <w:szCs w:val="32"/>
        </w:rPr>
        <w:t>一是深入凉山州、攀枝花、泸州、资阳、广安、德阳、达州、雅安、遂宁等地开展助听器验配</w:t>
      </w:r>
      <w:r>
        <w:rPr>
          <w:rFonts w:hint="eastAsia" w:ascii="仿宋_GB2312" w:hAnsi="仿宋" w:eastAsia="仿宋_GB2312"/>
          <w:b w:val="0"/>
          <w:bCs/>
          <w:spacing w:val="10"/>
          <w:sz w:val="32"/>
          <w:szCs w:val="32"/>
          <w:lang w:eastAsia="zh-CN"/>
        </w:rPr>
        <w:t>，</w:t>
      </w:r>
      <w:r>
        <w:rPr>
          <w:rFonts w:hint="eastAsia" w:ascii="仿宋_GB2312" w:hAnsi="仿宋" w:eastAsia="仿宋_GB2312"/>
          <w:spacing w:val="10"/>
          <w:sz w:val="32"/>
          <w:szCs w:val="32"/>
        </w:rPr>
        <w:t>本年度验配服务总人数为210余人。</w:t>
      </w:r>
      <w:r>
        <w:rPr>
          <w:rFonts w:hint="eastAsia" w:ascii="仿宋_GB2312" w:hAnsi="仿宋" w:eastAsia="仿宋_GB2312"/>
          <w:b w:val="0"/>
          <w:bCs/>
          <w:spacing w:val="10"/>
          <w:sz w:val="32"/>
          <w:szCs w:val="32"/>
        </w:rPr>
        <w:t>二是开展各种品牌耳蜗调试。</w:t>
      </w:r>
      <w:r>
        <w:rPr>
          <w:rFonts w:hint="eastAsia" w:ascii="仿宋_GB2312" w:hAnsi="仿宋" w:eastAsia="仿宋_GB2312"/>
          <w:spacing w:val="10"/>
          <w:sz w:val="32"/>
          <w:szCs w:val="32"/>
        </w:rPr>
        <w:t>2021年，为中心和各市（州）的儿童开展了各种品牌耳蜗调试，合计</w:t>
      </w:r>
      <w:r>
        <w:rPr>
          <w:rFonts w:hint="eastAsia" w:ascii="仿宋_GB2312" w:hAnsi="仿宋" w:eastAsia="仿宋_GB2312"/>
          <w:spacing w:val="10"/>
          <w:sz w:val="32"/>
          <w:szCs w:val="32"/>
          <w:lang w:val="en-US" w:eastAsia="zh-CN"/>
        </w:rPr>
        <w:t>完成</w:t>
      </w:r>
      <w:r>
        <w:rPr>
          <w:rFonts w:hint="eastAsia" w:ascii="仿宋_GB2312" w:hAnsi="仿宋" w:eastAsia="仿宋_GB2312"/>
          <w:spacing w:val="10"/>
          <w:sz w:val="32"/>
          <w:szCs w:val="32"/>
        </w:rPr>
        <w:t>72人</w:t>
      </w:r>
      <w:r>
        <w:rPr>
          <w:rFonts w:hint="eastAsia" w:ascii="仿宋_GB2312" w:hAnsi="仿宋" w:eastAsia="仿宋_GB2312"/>
          <w:spacing w:val="10"/>
          <w:sz w:val="32"/>
          <w:szCs w:val="32"/>
          <w:lang w:eastAsia="zh-CN"/>
        </w:rPr>
        <w:t>。</w:t>
      </w:r>
      <w:r>
        <w:rPr>
          <w:rFonts w:hint="eastAsia" w:ascii="仿宋_GB2312" w:hAnsi="仿宋" w:eastAsia="仿宋_GB2312"/>
          <w:b w:val="0"/>
          <w:bCs/>
          <w:spacing w:val="10"/>
          <w:sz w:val="32"/>
          <w:szCs w:val="32"/>
        </w:rPr>
        <w:t>三是持续为全省听力残疾人做好听能管理服务。</w:t>
      </w:r>
      <w:r>
        <w:rPr>
          <w:rFonts w:hint="eastAsia" w:ascii="仿宋_GB2312" w:hAnsi="仿宋" w:eastAsia="仿宋_GB2312"/>
          <w:spacing w:val="10"/>
          <w:sz w:val="32"/>
          <w:szCs w:val="32"/>
        </w:rPr>
        <w:t>2021年，为中心儿童和各市（州）的听力残疾人开展了听力测试业务，分别服务</w:t>
      </w:r>
      <w:r>
        <w:rPr>
          <w:rFonts w:hint="eastAsia" w:ascii="仿宋_GB2312" w:hAnsi="仿宋" w:eastAsia="仿宋_GB2312"/>
          <w:spacing w:val="10"/>
          <w:sz w:val="32"/>
          <w:szCs w:val="32"/>
          <w:lang w:val="en-US" w:eastAsia="zh-CN"/>
        </w:rPr>
        <w:t>395</w:t>
      </w:r>
      <w:r>
        <w:rPr>
          <w:rFonts w:hint="eastAsia" w:ascii="仿宋_GB2312" w:hAnsi="仿宋" w:eastAsia="仿宋_GB2312"/>
          <w:spacing w:val="10"/>
          <w:sz w:val="32"/>
          <w:szCs w:val="32"/>
        </w:rPr>
        <w:t>人</w:t>
      </w:r>
      <w:r>
        <w:rPr>
          <w:rFonts w:hint="eastAsia" w:ascii="仿宋_GB2312" w:hAnsi="仿宋" w:eastAsia="仿宋_GB2312"/>
          <w:spacing w:val="10"/>
          <w:sz w:val="32"/>
          <w:szCs w:val="32"/>
          <w:lang w:eastAsia="zh-CN"/>
        </w:rPr>
        <w:t>。</w:t>
      </w:r>
      <w:r>
        <w:rPr>
          <w:rFonts w:hint="eastAsia" w:ascii="仿宋_GB2312" w:hAnsi="仿宋" w:eastAsia="仿宋_GB2312"/>
          <w:b w:val="0"/>
          <w:bCs/>
          <w:spacing w:val="10"/>
          <w:sz w:val="32"/>
          <w:szCs w:val="32"/>
        </w:rPr>
        <w:t>四是规范有序的实施术前评估。2021年，共为200余名听力残疾儿童进行了人工耳蜗项目术前评估</w:t>
      </w:r>
      <w:r>
        <w:rPr>
          <w:rFonts w:hint="eastAsia" w:ascii="仿宋_GB2312" w:hAnsi="仿宋" w:eastAsia="仿宋_GB2312"/>
          <w:b w:val="0"/>
          <w:bCs/>
          <w:spacing w:val="10"/>
          <w:sz w:val="32"/>
          <w:szCs w:val="32"/>
          <w:lang w:eastAsia="zh-CN"/>
        </w:rPr>
        <w:t>。</w:t>
      </w:r>
    </w:p>
    <w:p>
      <w:pPr>
        <w:pStyle w:val="2"/>
        <w:numPr>
          <w:ilvl w:val="0"/>
          <w:numId w:val="2"/>
        </w:numPr>
        <w:ind w:firstLine="640" w:firstLineChars="200"/>
        <w:rPr>
          <w:rFonts w:hint="eastAsia" w:ascii="仿宋_GB2312" w:hAnsi="仿宋" w:eastAsia="仿宋_GB2312" w:cs="仿宋"/>
          <w:spacing w:val="10"/>
          <w:sz w:val="32"/>
          <w:szCs w:val="32"/>
          <w:lang w:val="en-US" w:eastAsia="zh-CN"/>
        </w:rPr>
      </w:pPr>
      <w:r>
        <w:rPr>
          <w:rFonts w:hint="eastAsia" w:ascii="CESI楷体-GB2312" w:hAnsi="CESI楷体-GB2312" w:eastAsia="CESI楷体-GB2312" w:cs="CESI楷体-GB2312"/>
          <w:b w:val="0"/>
          <w:color w:val="auto"/>
          <w:kern w:val="2"/>
          <w:sz w:val="32"/>
          <w:szCs w:val="32"/>
          <w:highlight w:val="none"/>
          <w:lang w:val="en-US" w:eastAsia="zh-CN" w:bidi="ar-SA"/>
        </w:rPr>
        <w:t>组织开展听力语言康复专业技术培训。</w:t>
      </w:r>
      <w:r>
        <w:rPr>
          <w:rFonts w:hint="eastAsia" w:hAnsi="仿宋"/>
          <w:b w:val="0"/>
          <w:bCs/>
          <w:spacing w:val="10"/>
          <w:sz w:val="32"/>
          <w:szCs w:val="32"/>
          <w:lang w:val="en-US" w:eastAsia="zh-CN"/>
        </w:rPr>
        <w:t>2021年</w:t>
      </w:r>
      <w:r>
        <w:rPr>
          <w:rFonts w:hint="eastAsia" w:ascii="仿宋_GB2312" w:hAnsi="仿宋" w:eastAsia="仿宋_GB2312"/>
          <w:b w:val="0"/>
          <w:bCs/>
          <w:spacing w:val="10"/>
          <w:sz w:val="32"/>
          <w:szCs w:val="32"/>
        </w:rPr>
        <w:t>组织全省听力语言康复专业技术人员80人进行技能培训</w:t>
      </w:r>
      <w:r>
        <w:rPr>
          <w:rFonts w:hint="eastAsia" w:hAnsi="仿宋"/>
          <w:b w:val="0"/>
          <w:bCs/>
          <w:spacing w:val="10"/>
          <w:sz w:val="32"/>
          <w:szCs w:val="32"/>
          <w:lang w:eastAsia="zh-CN"/>
        </w:rPr>
        <w:t>；</w:t>
      </w:r>
      <w:r>
        <w:rPr>
          <w:rFonts w:hint="eastAsia" w:ascii="仿宋_GB2312" w:hAnsi="仿宋" w:eastAsia="仿宋_GB2312" w:cs="仿宋"/>
          <w:spacing w:val="10"/>
          <w:sz w:val="32"/>
          <w:szCs w:val="32"/>
        </w:rPr>
        <w:t>全年共为内江、自贡、攀枝花、达州等地基层机构的10名专业技术人员提供了观摩学习、跟岗培训、专项指导等服务。2021年秋季学年承担乐山师范学院、成都医学院等7位实习老师的跟岗学习带教培训。</w:t>
      </w:r>
    </w:p>
    <w:p>
      <w:pPr>
        <w:pStyle w:val="4"/>
        <w:numPr>
          <w:ilvl w:val="0"/>
          <w:numId w:val="0"/>
        </w:numPr>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三、机构设置情况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27" w:lineRule="atLeast"/>
        <w:ind w:left="0" w:right="0" w:firstLine="420"/>
        <w:rPr>
          <w:rFonts w:hint="eastAsia" w:ascii="仿宋_GB2312" w:hAnsi="仿宋" w:eastAsia="仿宋_GB2312" w:cs="仿宋"/>
          <w:spacing w:val="10"/>
          <w:kern w:val="0"/>
          <w:sz w:val="32"/>
          <w:szCs w:val="32"/>
          <w:lang w:val="en-US" w:eastAsia="zh-CN" w:bidi="ar-SA"/>
        </w:rPr>
      </w:pPr>
      <w:r>
        <w:rPr>
          <w:rFonts w:hint="eastAsia" w:ascii="仿宋_GB2312" w:hAnsi="仿宋" w:eastAsia="仿宋_GB2312" w:cs="仿宋"/>
          <w:spacing w:val="10"/>
          <w:kern w:val="0"/>
          <w:sz w:val="32"/>
          <w:szCs w:val="32"/>
          <w:lang w:val="en-US" w:eastAsia="zh-CN" w:bidi="ar-SA"/>
        </w:rPr>
        <w:t>四川省听力语言康复中心由三个内设部门组成，分别是：</w:t>
      </w:r>
      <w:r>
        <w:rPr>
          <w:rFonts w:hint="eastAsia" w:ascii="仿宋_GB2312" w:hAnsi="仿宋" w:eastAsia="仿宋_GB2312" w:cs="仿宋"/>
          <w:spacing w:val="10"/>
          <w:kern w:val="0"/>
          <w:sz w:val="32"/>
          <w:szCs w:val="32"/>
          <w:lang w:val="en-US" w:eastAsia="zh-CN" w:bidi="ar-SA"/>
        </w:rPr>
        <w:fldChar w:fldCharType="begin"/>
      </w:r>
      <w:r>
        <w:rPr>
          <w:rFonts w:hint="eastAsia" w:ascii="仿宋_GB2312" w:hAnsi="仿宋" w:eastAsia="仿宋_GB2312" w:cs="仿宋"/>
          <w:spacing w:val="10"/>
          <w:kern w:val="0"/>
          <w:sz w:val="32"/>
          <w:szCs w:val="32"/>
          <w:lang w:val="en-US" w:eastAsia="zh-CN" w:bidi="ar-SA"/>
        </w:rPr>
        <w:instrText xml:space="preserve"> HYPERLINK "http://shsirc.my120.org/departments_cg/" \t "http://shsirc.my120.org/affair_news/2022/_blank" </w:instrText>
      </w:r>
      <w:r>
        <w:rPr>
          <w:rFonts w:hint="eastAsia" w:ascii="仿宋_GB2312" w:hAnsi="仿宋" w:eastAsia="仿宋_GB2312" w:cs="仿宋"/>
          <w:spacing w:val="10"/>
          <w:kern w:val="0"/>
          <w:sz w:val="32"/>
          <w:szCs w:val="32"/>
          <w:lang w:val="en-US" w:eastAsia="zh-CN" w:bidi="ar-SA"/>
        </w:rPr>
        <w:fldChar w:fldCharType="separate"/>
      </w:r>
      <w:r>
        <w:rPr>
          <w:rFonts w:hint="eastAsia" w:ascii="仿宋_GB2312" w:hAnsi="仿宋" w:eastAsia="仿宋_GB2312" w:cs="仿宋"/>
          <w:spacing w:val="10"/>
          <w:kern w:val="0"/>
          <w:sz w:val="32"/>
          <w:szCs w:val="32"/>
          <w:lang w:val="en-US" w:eastAsia="zh-CN" w:bidi="ar-SA"/>
        </w:rPr>
        <w:t>综合保障部</w:t>
      </w:r>
      <w:r>
        <w:rPr>
          <w:rFonts w:hint="eastAsia" w:ascii="仿宋_GB2312" w:hAnsi="仿宋" w:eastAsia="仿宋_GB2312" w:cs="仿宋"/>
          <w:spacing w:val="10"/>
          <w:kern w:val="0"/>
          <w:sz w:val="32"/>
          <w:szCs w:val="32"/>
          <w:lang w:val="en-US" w:eastAsia="zh-CN" w:bidi="ar-SA"/>
        </w:rPr>
        <w:fldChar w:fldCharType="end"/>
      </w:r>
      <w:r>
        <w:rPr>
          <w:rFonts w:hint="eastAsia" w:ascii="仿宋_GB2312" w:hAnsi="仿宋" w:eastAsia="仿宋_GB2312" w:cs="仿宋"/>
          <w:spacing w:val="10"/>
          <w:kern w:val="0"/>
          <w:sz w:val="32"/>
          <w:szCs w:val="32"/>
          <w:lang w:val="en-US" w:eastAsia="zh-CN" w:bidi="ar-SA"/>
        </w:rPr>
        <w:t>、学前</w:t>
      </w:r>
      <w:r>
        <w:rPr>
          <w:rFonts w:hint="eastAsia" w:ascii="仿宋_GB2312" w:hAnsi="仿宋" w:eastAsia="仿宋_GB2312" w:cs="仿宋"/>
          <w:spacing w:val="10"/>
          <w:kern w:val="0"/>
          <w:sz w:val="32"/>
          <w:szCs w:val="32"/>
          <w:lang w:val="en-US" w:eastAsia="zh-CN" w:bidi="ar-SA"/>
        </w:rPr>
        <w:fldChar w:fldCharType="begin"/>
      </w:r>
      <w:r>
        <w:rPr>
          <w:rFonts w:hint="eastAsia" w:ascii="仿宋_GB2312" w:hAnsi="仿宋" w:eastAsia="仿宋_GB2312" w:cs="仿宋"/>
          <w:spacing w:val="10"/>
          <w:kern w:val="0"/>
          <w:sz w:val="32"/>
          <w:szCs w:val="32"/>
          <w:lang w:val="en-US" w:eastAsia="zh-CN" w:bidi="ar-SA"/>
        </w:rPr>
        <w:instrText xml:space="preserve"> HYPERLINK "http://shsirc.my120.org/departments_ltd/" \t "http://shsirc.my120.org/affair_news/2022/_blank" </w:instrText>
      </w:r>
      <w:r>
        <w:rPr>
          <w:rFonts w:hint="eastAsia" w:ascii="仿宋_GB2312" w:hAnsi="仿宋" w:eastAsia="仿宋_GB2312" w:cs="仿宋"/>
          <w:spacing w:val="10"/>
          <w:kern w:val="0"/>
          <w:sz w:val="32"/>
          <w:szCs w:val="32"/>
          <w:lang w:val="en-US" w:eastAsia="zh-CN" w:bidi="ar-SA"/>
        </w:rPr>
        <w:fldChar w:fldCharType="separate"/>
      </w:r>
      <w:r>
        <w:rPr>
          <w:rFonts w:hint="eastAsia" w:ascii="仿宋_GB2312" w:hAnsi="仿宋" w:eastAsia="仿宋_GB2312" w:cs="仿宋"/>
          <w:spacing w:val="10"/>
          <w:kern w:val="0"/>
          <w:sz w:val="32"/>
          <w:szCs w:val="32"/>
          <w:lang w:val="en-US" w:eastAsia="zh-CN" w:bidi="ar-SA"/>
        </w:rPr>
        <w:t>语训部</w:t>
      </w:r>
      <w:r>
        <w:rPr>
          <w:rFonts w:hint="eastAsia" w:ascii="仿宋_GB2312" w:hAnsi="仿宋" w:eastAsia="仿宋_GB2312" w:cs="仿宋"/>
          <w:spacing w:val="10"/>
          <w:kern w:val="0"/>
          <w:sz w:val="32"/>
          <w:szCs w:val="32"/>
          <w:lang w:val="en-US" w:eastAsia="zh-CN" w:bidi="ar-SA"/>
        </w:rPr>
        <w:fldChar w:fldCharType="end"/>
      </w:r>
      <w:r>
        <w:rPr>
          <w:rFonts w:hint="eastAsia" w:ascii="仿宋_GB2312" w:hAnsi="仿宋" w:eastAsia="仿宋_GB2312" w:cs="仿宋"/>
          <w:spacing w:val="10"/>
          <w:kern w:val="0"/>
          <w:sz w:val="32"/>
          <w:szCs w:val="32"/>
          <w:lang w:val="en-US" w:eastAsia="zh-CN" w:bidi="ar-SA"/>
        </w:rPr>
        <w:t>、</w:t>
      </w:r>
      <w:r>
        <w:rPr>
          <w:rFonts w:hint="eastAsia" w:ascii="仿宋_GB2312" w:hAnsi="仿宋" w:eastAsia="仿宋_GB2312" w:cs="仿宋"/>
          <w:spacing w:val="10"/>
          <w:kern w:val="0"/>
          <w:sz w:val="32"/>
          <w:szCs w:val="32"/>
          <w:lang w:val="en-US" w:eastAsia="zh-CN" w:bidi="ar-SA"/>
        </w:rPr>
        <w:fldChar w:fldCharType="begin"/>
      </w:r>
      <w:r>
        <w:rPr>
          <w:rFonts w:hint="eastAsia" w:ascii="仿宋_GB2312" w:hAnsi="仿宋" w:eastAsia="仿宋_GB2312" w:cs="仿宋"/>
          <w:spacing w:val="10"/>
          <w:kern w:val="0"/>
          <w:sz w:val="32"/>
          <w:szCs w:val="32"/>
          <w:lang w:val="en-US" w:eastAsia="zh-CN" w:bidi="ar-SA"/>
        </w:rPr>
        <w:instrText xml:space="preserve"> HYPERLINK "http://shsirc.my120.org/departments_hc/" \t "http://shsirc.my120.org/affair_news/2022/_blank" </w:instrText>
      </w:r>
      <w:r>
        <w:rPr>
          <w:rFonts w:hint="eastAsia" w:ascii="仿宋_GB2312" w:hAnsi="仿宋" w:eastAsia="仿宋_GB2312" w:cs="仿宋"/>
          <w:spacing w:val="10"/>
          <w:kern w:val="0"/>
          <w:sz w:val="32"/>
          <w:szCs w:val="32"/>
          <w:lang w:val="en-US" w:eastAsia="zh-CN" w:bidi="ar-SA"/>
        </w:rPr>
        <w:fldChar w:fldCharType="separate"/>
      </w:r>
      <w:r>
        <w:rPr>
          <w:rFonts w:hint="eastAsia" w:ascii="仿宋_GB2312" w:hAnsi="仿宋" w:eastAsia="仿宋_GB2312" w:cs="仿宋"/>
          <w:spacing w:val="10"/>
          <w:kern w:val="0"/>
          <w:sz w:val="32"/>
          <w:szCs w:val="32"/>
          <w:lang w:val="en-US" w:eastAsia="zh-CN" w:bidi="ar-SA"/>
        </w:rPr>
        <w:t>听力门诊部</w:t>
      </w:r>
      <w:r>
        <w:rPr>
          <w:rFonts w:hint="eastAsia" w:ascii="仿宋_GB2312" w:hAnsi="仿宋" w:eastAsia="仿宋_GB2312" w:cs="仿宋"/>
          <w:spacing w:val="10"/>
          <w:kern w:val="0"/>
          <w:sz w:val="32"/>
          <w:szCs w:val="32"/>
          <w:lang w:val="en-US" w:eastAsia="zh-CN" w:bidi="ar-SA"/>
        </w:rPr>
        <w:fldChar w:fldCharType="end"/>
      </w:r>
      <w:r>
        <w:rPr>
          <w:rFonts w:hint="eastAsia" w:ascii="仿宋_GB2312" w:hAnsi="仿宋" w:eastAsia="仿宋_GB2312" w:cs="仿宋"/>
          <w:spacing w:val="10"/>
          <w:kern w:val="0"/>
          <w:sz w:val="32"/>
          <w:szCs w:val="32"/>
          <w:lang w:val="en-US" w:eastAsia="zh-CN" w:bidi="ar-SA"/>
        </w:rPr>
        <w:t>。</w:t>
      </w:r>
    </w:p>
    <w:p>
      <w:pPr>
        <w:widowControl/>
        <w:jc w:val="left"/>
        <w:rPr>
          <w:rFonts w:hint="eastAsia" w:ascii="仿宋_GB2312" w:hAnsi="仿宋" w:eastAsia="仿宋_GB2312" w:cs="仿宋"/>
          <w:spacing w:val="10"/>
          <w:kern w:val="0"/>
          <w:sz w:val="32"/>
          <w:szCs w:val="32"/>
          <w:lang w:val="en-US" w:eastAsia="zh-CN" w:bidi="ar-SA"/>
        </w:rPr>
      </w:pPr>
      <w:bookmarkStart w:id="67" w:name="_GoBack"/>
      <w:bookmarkEnd w:id="67"/>
      <w:r>
        <w:rPr>
          <w:rFonts w:hint="eastAsia" w:ascii="仿宋_GB2312" w:hAnsi="仿宋" w:eastAsia="仿宋_GB2312" w:cs="仿宋"/>
          <w:spacing w:val="10"/>
          <w:kern w:val="0"/>
          <w:sz w:val="32"/>
          <w:szCs w:val="32"/>
          <w:lang w:val="en-US" w:eastAsia="zh-CN" w:bidi="ar-SA"/>
        </w:rPr>
        <w:br w:type="page"/>
      </w:r>
    </w:p>
    <w:p>
      <w:pPr>
        <w:pStyle w:val="3"/>
        <w:ind w:right="440"/>
        <w:jc w:val="center"/>
        <w:rPr>
          <w:rStyle w:val="25"/>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rPr>
          <w:color w:val="auto"/>
          <w:highlight w:val="none"/>
        </w:rPr>
      </w:pPr>
    </w:p>
    <w:p>
      <w:pPr>
        <w:pStyle w:val="24"/>
        <w:numPr>
          <w:ilvl w:val="0"/>
          <w:numId w:val="3"/>
        </w:numPr>
        <w:spacing w:line="600" w:lineRule="exact"/>
        <w:ind w:firstLineChars="0"/>
        <w:outlineLvl w:val="1"/>
        <w:rPr>
          <w:rStyle w:val="26"/>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584.69</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128.34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28.12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训练儿童数增加，事业收入增加。</w:t>
      </w:r>
    </w:p>
    <w:p>
      <w:pPr>
        <w:pStyle w:val="2"/>
        <w:rPr>
          <w:rFonts w:hint="eastAsia" w:ascii="仿宋" w:hAnsi="仿宋" w:eastAsia="仿宋"/>
          <w:color w:val="auto"/>
          <w:sz w:val="32"/>
          <w:szCs w:val="32"/>
          <w:highlight w:val="none"/>
          <w:lang w:val="en-US" w:eastAsia="zh-CN"/>
        </w:rPr>
      </w:pPr>
      <w:r>
        <w:drawing>
          <wp:inline distT="0" distB="0" distL="114300" distR="114300">
            <wp:extent cx="5272405" cy="2388870"/>
            <wp:effectExtent l="4445" t="4445" r="19050" b="698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4"/>
        <w:numPr>
          <w:ilvl w:val="0"/>
          <w:numId w:val="3"/>
        </w:numPr>
        <w:spacing w:line="600" w:lineRule="exact"/>
        <w:ind w:firstLineChars="0"/>
        <w:outlineLvl w:val="1"/>
        <w:rPr>
          <w:rStyle w:val="26"/>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584.69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154.41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26.41</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67.20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11.49</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360.99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61.74</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2.10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pPr>
    </w:p>
    <w:p>
      <w:pPr>
        <w:spacing w:line="600" w:lineRule="exact"/>
        <w:ind w:firstLine="420" w:firstLineChars="200"/>
      </w:pPr>
    </w:p>
    <w:p>
      <w:pPr>
        <w:spacing w:line="600" w:lineRule="exact"/>
        <w:ind w:firstLine="420" w:firstLineChars="200"/>
      </w:pPr>
    </w:p>
    <w:p>
      <w:pPr>
        <w:pStyle w:val="2"/>
        <w:rPr>
          <w:rFonts w:hint="eastAsia" w:eastAsia="仿宋_GB2312"/>
          <w:lang w:eastAsia="zh-CN"/>
        </w:rPr>
      </w:pPr>
      <w:r>
        <w:rPr>
          <w:rFonts w:hint="eastAsia" w:eastAsia="仿宋_GB2312"/>
          <w:lang w:eastAsia="zh-CN"/>
        </w:rPr>
        <w:drawing>
          <wp:inline distT="0" distB="0" distL="114300" distR="114300">
            <wp:extent cx="5273675" cy="2582545"/>
            <wp:effectExtent l="0" t="0" r="3175" b="8255"/>
            <wp:docPr id="3" name="图片 3" descr="图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 1"/>
                    <pic:cNvPicPr>
                      <a:picLocks noChangeAspect="1"/>
                    </pic:cNvPicPr>
                  </pic:nvPicPr>
                  <pic:blipFill>
                    <a:blip r:embed="rId7"/>
                    <a:stretch>
                      <a:fillRect/>
                    </a:stretch>
                  </pic:blipFill>
                  <pic:spPr>
                    <a:xfrm>
                      <a:off x="0" y="0"/>
                      <a:ext cx="5273675" cy="258254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4"/>
        <w:numPr>
          <w:ilvl w:val="0"/>
          <w:numId w:val="3"/>
        </w:numPr>
        <w:spacing w:line="600" w:lineRule="exact"/>
        <w:ind w:firstLineChars="0"/>
        <w:outlineLvl w:val="1"/>
        <w:rPr>
          <w:rStyle w:val="26"/>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526.24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339.04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64.43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187.20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35.57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Pr>
    </w:p>
    <w:p>
      <w:pPr>
        <w:pStyle w:val="2"/>
      </w:pPr>
      <w:r>
        <w:drawing>
          <wp:anchor distT="0" distB="0" distL="114300" distR="114300" simplePos="0" relativeHeight="251659264" behindDoc="0" locked="0" layoutInCell="1" allowOverlap="1">
            <wp:simplePos x="0" y="0"/>
            <wp:positionH relativeFrom="column">
              <wp:posOffset>229235</wp:posOffset>
            </wp:positionH>
            <wp:positionV relativeFrom="page">
              <wp:posOffset>1539240</wp:posOffset>
            </wp:positionV>
            <wp:extent cx="4572000" cy="2743200"/>
            <wp:effectExtent l="4445" t="4445" r="14605" b="14605"/>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221.61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42.46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16.08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结转项目资金减少。</w:t>
      </w:r>
    </w:p>
    <w:p>
      <w:pPr>
        <w:pStyle w:val="2"/>
        <w:rPr>
          <w:rFonts w:ascii="仿宋" w:hAnsi="仿宋" w:eastAsia="仿宋"/>
          <w:color w:val="auto"/>
          <w:sz w:val="32"/>
          <w:szCs w:val="32"/>
          <w:highlight w:val="none"/>
        </w:rPr>
      </w:pPr>
      <w:r>
        <w:drawing>
          <wp:inline distT="0" distB="0" distL="114300" distR="114300">
            <wp:extent cx="5324475" cy="2735580"/>
            <wp:effectExtent l="4445" t="4445" r="5080" b="2222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6"/>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154.41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29.34</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2.34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1.54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培训费增加。</w:t>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60288" behindDoc="0" locked="0" layoutInCell="1" allowOverlap="1">
            <wp:simplePos x="0" y="0"/>
            <wp:positionH relativeFrom="column">
              <wp:posOffset>271780</wp:posOffset>
            </wp:positionH>
            <wp:positionV relativeFrom="page">
              <wp:posOffset>3142615</wp:posOffset>
            </wp:positionV>
            <wp:extent cx="5272405" cy="2165985"/>
            <wp:effectExtent l="5080" t="4445" r="18415" b="20320"/>
            <wp:wrapTopAndBottom/>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154.41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6.48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144.41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93.52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ascii="仿宋" w:hAnsi="仿宋" w:eastAsia="仿宋"/>
          <w:color w:val="auto"/>
          <w:sz w:val="32"/>
          <w:szCs w:val="32"/>
          <w:highlight w:val="none"/>
        </w:rPr>
      </w:pPr>
      <w:r>
        <w:drawing>
          <wp:inline distT="0" distB="0" distL="114300" distR="114300">
            <wp:extent cx="5269230" cy="2314575"/>
            <wp:effectExtent l="5080" t="4445" r="21590" b="508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7213"/>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154.41</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99.62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000000"/>
          <w:sz w:val="32"/>
          <w:szCs w:val="32"/>
        </w:rPr>
        <w:t>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教育（类）进修及培训（款）培训支持（项）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000000"/>
          <w:sz w:val="32"/>
          <w:szCs w:val="32"/>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社会保障和就业（类）残疾人事业（款）残疾人康复（项）</w:t>
      </w:r>
      <w:r>
        <w:rPr>
          <w:rStyle w:val="15"/>
          <w:rFonts w:ascii="仿宋" w:hAnsi="仿宋" w:eastAsia="仿宋"/>
          <w:bCs/>
          <w:color w:val="000000"/>
          <w:sz w:val="32"/>
          <w:szCs w:val="32"/>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144.41</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99.59</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，决算数小于预算数的主要原因是</w:t>
      </w:r>
      <w:r>
        <w:rPr>
          <w:rStyle w:val="15"/>
          <w:rFonts w:hint="eastAsia" w:ascii="仿宋" w:hAnsi="仿宋" w:eastAsia="仿宋"/>
          <w:b w:val="0"/>
          <w:bCs/>
          <w:color w:val="auto"/>
          <w:sz w:val="32"/>
          <w:szCs w:val="32"/>
          <w:highlight w:val="none"/>
          <w:lang w:val="en-US" w:eastAsia="zh-CN"/>
        </w:rPr>
        <w:t>疫情影响，出差减少</w:t>
      </w:r>
      <w:r>
        <w:rPr>
          <w:rStyle w:val="15"/>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6"/>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34.41</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p>
    <w:p>
      <w:pPr>
        <w:spacing w:line="600" w:lineRule="exact"/>
        <w:ind w:firstLine="645"/>
        <w:rPr>
          <w:rFonts w:ascii="仿宋" w:hAnsi="仿宋" w:eastAsia="仿宋"/>
          <w:sz w:val="32"/>
          <w:szCs w:val="32"/>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34.41</w:t>
      </w:r>
      <w:r>
        <w:rPr>
          <w:rFonts w:hint="eastAsia" w:ascii="仿宋" w:hAnsi="仿宋" w:eastAsia="仿宋"/>
          <w:color w:val="auto"/>
          <w:sz w:val="32"/>
          <w:szCs w:val="32"/>
          <w:highlight w:val="none"/>
        </w:rPr>
        <w:t>万元，主要包括：</w:t>
      </w:r>
      <w:r>
        <w:rPr>
          <w:rFonts w:hint="eastAsia" w:ascii="仿宋" w:hAnsi="仿宋" w:eastAsia="仿宋"/>
          <w:sz w:val="32"/>
          <w:szCs w:val="32"/>
        </w:rPr>
        <w:t>主要包括：差旅费、维修（护）费、培训费。</w:t>
      </w:r>
    </w:p>
    <w:p>
      <w:pPr>
        <w:spacing w:line="600" w:lineRule="exact"/>
        <w:ind w:firstLine="640"/>
        <w:outlineLvl w:val="1"/>
        <w:rPr>
          <w:rStyle w:val="26"/>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 w:hAnsi="仿宋" w:eastAsia="仿宋"/>
          <w:color w:val="000000"/>
          <w:sz w:val="32"/>
          <w:szCs w:val="32"/>
        </w:rPr>
        <w:t>公务车购置及运行维护费支出决算与</w:t>
      </w:r>
      <w:r>
        <w:rPr>
          <w:rFonts w:hint="eastAsia" w:ascii="仿宋" w:hAnsi="仿宋" w:eastAsia="仿宋"/>
          <w:color w:val="000000"/>
          <w:sz w:val="32"/>
          <w:szCs w:val="32"/>
          <w:lang w:val="en-US" w:eastAsia="zh-CN"/>
        </w:rPr>
        <w:t>2020</w:t>
      </w:r>
      <w:r>
        <w:rPr>
          <w:rFonts w:ascii="仿宋" w:hAnsi="仿宋" w:eastAsia="仿宋"/>
          <w:color w:val="000000"/>
          <w:sz w:val="32"/>
          <w:szCs w:val="32"/>
        </w:rPr>
        <w:t>年</w:t>
      </w:r>
      <w:r>
        <w:rPr>
          <w:rFonts w:hint="eastAsia" w:ascii="仿宋" w:hAnsi="仿宋" w:eastAsia="仿宋"/>
          <w:color w:val="000000"/>
          <w:sz w:val="32"/>
          <w:szCs w:val="32"/>
        </w:rPr>
        <w:t>决算数持平。</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2"/>
        <w:spacing w:before="93"/>
        <w:ind w:firstLine="643" w:firstLineChars="20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 w:hAnsi="仿宋" w:eastAsia="仿宋"/>
          <w:b w:val="0"/>
          <w:bCs/>
          <w:color w:val="000000"/>
          <w:sz w:val="32"/>
          <w:szCs w:val="32"/>
        </w:rPr>
        <w:t>公务接待费支出决算与2019年决算数持平。</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40" w:name="_Toc15377218"/>
      <w:bookmarkStart w:id="41" w:name="_Toc15396610"/>
      <w:r>
        <w:rPr>
          <w:rFonts w:hint="eastAsia" w:ascii="仿宋_GB2312" w:eastAsia="仿宋_GB2312"/>
          <w:color w:val="auto"/>
          <w:sz w:val="32"/>
          <w:szCs w:val="32"/>
          <w:highlight w:val="none"/>
          <w:lang w:val="en-US" w:eastAsia="zh-CN"/>
        </w:rPr>
        <w:t>。</w:t>
      </w:r>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67.2</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4"/>
        </w:numPr>
        <w:spacing w:line="600" w:lineRule="exact"/>
        <w:ind w:firstLine="640"/>
        <w:outlineLvl w:val="1"/>
        <w:rPr>
          <w:rStyle w:val="26"/>
          <w:rFonts w:ascii="黑体" w:hAnsi="黑体" w:eastAsia="黑体"/>
          <w:b w:val="0"/>
          <w:color w:val="auto"/>
          <w:highlight w:val="none"/>
        </w:rPr>
      </w:pPr>
      <w:bookmarkStart w:id="42" w:name="_Toc15396611"/>
      <w:bookmarkStart w:id="43" w:name="_Toc15377219"/>
      <w:r>
        <w:rPr>
          <w:rStyle w:val="26"/>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4"/>
        </w:numPr>
        <w:spacing w:line="600" w:lineRule="exact"/>
        <w:ind w:firstLine="640"/>
        <w:outlineLvl w:val="1"/>
        <w:rPr>
          <w:rStyle w:val="26"/>
          <w:rFonts w:hint="eastAsia" w:ascii="黑体" w:hAnsi="黑体" w:eastAsia="黑体"/>
          <w:b w:val="0"/>
          <w:color w:val="auto"/>
          <w:highlight w:val="none"/>
        </w:rPr>
      </w:pPr>
      <w:bookmarkStart w:id="44" w:name="_Toc15396612"/>
      <w:bookmarkStart w:id="45" w:name="_Toc15377221"/>
      <w:r>
        <w:rPr>
          <w:rStyle w:val="26"/>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lang w:val="en-US" w:eastAsia="zh-CN"/>
        </w:rPr>
      </w:pPr>
      <w:bookmarkStart w:id="47" w:name="_Toc15377223"/>
      <w:r>
        <w:rPr>
          <w:rFonts w:hint="eastAsia" w:ascii="仿宋_GB2312" w:eastAsia="仿宋_GB2312"/>
          <w:color w:val="auto"/>
          <w:sz w:val="32"/>
          <w:szCs w:val="32"/>
          <w:highlight w:val="none"/>
          <w:lang w:val="en-US" w:eastAsia="zh-CN"/>
        </w:rPr>
        <w:t>无。</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无</w:t>
      </w:r>
      <w:r>
        <w:rPr>
          <w:rFonts w:hint="eastAsia" w:ascii="仿宋_GB2312" w:eastAsia="仿宋_GB2312"/>
          <w:color w:val="auto"/>
          <w:sz w:val="32"/>
          <w:szCs w:val="32"/>
          <w:highlight w:val="none"/>
        </w:rPr>
        <w:t>政府采购支出。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省听力语言康复中心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万元以上通用设备5台（套），单价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1项目（项目名称）开展了预算事前绩效评估，对1个项目编制了绩效目标，预算执行过程中，选取1个项目开展绩效监控，年终执行完毕后，对1个项目开展了绩效目标完成情况自评。</w:t>
      </w:r>
    </w:p>
    <w:p>
      <w:pPr>
        <w:spacing w:line="580" w:lineRule="exact"/>
        <w:ind w:firstLine="735"/>
        <w:jc w:val="left"/>
        <w:rPr>
          <w:rFonts w:ascii="仿宋_GB2312" w:hAnsi="黑体" w:eastAsia="仿宋_GB2312"/>
          <w:spacing w:val="10"/>
          <w:sz w:val="32"/>
          <w:szCs w:val="32"/>
        </w:rPr>
      </w:pPr>
      <w:r>
        <w:rPr>
          <w:rFonts w:hint="eastAsia" w:ascii="仿宋_GB2312" w:hAnsi="仿宋_GB2312" w:eastAsia="仿宋_GB2312" w:cs="仿宋_GB2312"/>
          <w:sz w:val="32"/>
          <w:szCs w:val="32"/>
        </w:rPr>
        <w:t>本单位按要求对202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年整体支出开展绩效自评，从评价情况来看完成了202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年整体目标。本单位还自行组织了1个项目支出绩效评价，从评价情况来看</w:t>
      </w:r>
      <w:r>
        <w:rPr>
          <w:rFonts w:hint="eastAsia" w:ascii="仿宋_GB2312" w:hAnsi="黑体" w:eastAsia="仿宋_GB2312"/>
          <w:spacing w:val="10"/>
          <w:sz w:val="32"/>
          <w:szCs w:val="32"/>
        </w:rPr>
        <w:t>绩效</w:t>
      </w:r>
      <w:r>
        <w:rPr>
          <w:rFonts w:ascii="仿宋_GB2312" w:hAnsi="黑体" w:eastAsia="仿宋_GB2312"/>
          <w:spacing w:val="10"/>
          <w:sz w:val="32"/>
          <w:szCs w:val="32"/>
        </w:rPr>
        <w:t>目标</w:t>
      </w:r>
      <w:r>
        <w:rPr>
          <w:rFonts w:hint="eastAsia" w:ascii="仿宋_GB2312" w:hAnsi="黑体" w:eastAsia="仿宋_GB2312"/>
          <w:spacing w:val="10"/>
          <w:sz w:val="32"/>
          <w:szCs w:val="32"/>
        </w:rPr>
        <w:t>100</w:t>
      </w:r>
      <w:r>
        <w:rPr>
          <w:rFonts w:ascii="仿宋_GB2312" w:hAnsi="黑体" w:eastAsia="仿宋_GB2312"/>
          <w:spacing w:val="10"/>
          <w:sz w:val="32"/>
          <w:szCs w:val="32"/>
        </w:rPr>
        <w:t>%完成</w:t>
      </w:r>
      <w:r>
        <w:rPr>
          <w:rFonts w:hint="eastAsia" w:ascii="仿宋_GB2312" w:hAnsi="黑体" w:eastAsia="仿宋_GB2312"/>
          <w:spacing w:val="10"/>
          <w:sz w:val="32"/>
          <w:szCs w:val="32"/>
        </w:rPr>
        <w:t>，项目完成指标：受益残疾人数120人</w:t>
      </w:r>
      <w:r>
        <w:rPr>
          <w:rFonts w:ascii="仿宋_GB2312" w:hAnsi="黑体" w:eastAsia="仿宋_GB2312"/>
          <w:spacing w:val="10"/>
          <w:sz w:val="32"/>
          <w:szCs w:val="32"/>
        </w:rPr>
        <w:t>，</w:t>
      </w:r>
      <w:r>
        <w:rPr>
          <w:rFonts w:hint="eastAsia" w:ascii="仿宋_GB2312" w:hAnsi="黑体" w:eastAsia="仿宋_GB2312"/>
          <w:spacing w:val="10"/>
          <w:sz w:val="32"/>
          <w:szCs w:val="32"/>
        </w:rPr>
        <w:t>聋儿语言能力有所提高，补贴聋儿训练经费</w:t>
      </w:r>
      <w:r>
        <w:rPr>
          <w:rFonts w:ascii="仿宋_GB2312" w:hAnsi="黑体" w:eastAsia="仿宋_GB2312"/>
          <w:spacing w:val="10"/>
          <w:sz w:val="32"/>
          <w:szCs w:val="32"/>
        </w:rPr>
        <w:t>1万元/年.人</w:t>
      </w:r>
      <w:r>
        <w:rPr>
          <w:rFonts w:hint="eastAsia" w:ascii="仿宋_GB2312" w:hAnsi="黑体" w:eastAsia="仿宋_GB2312"/>
          <w:spacing w:val="10"/>
          <w:sz w:val="32"/>
          <w:szCs w:val="32"/>
        </w:rPr>
        <w:t>；效益指标：残疾儿童基本康复服务水平有所提高，改善残疾儿童功能状况有所改善；满意度指标：救助对象家长满意度达到95</w:t>
      </w:r>
      <w:r>
        <w:rPr>
          <w:rFonts w:ascii="仿宋_GB2312" w:hAnsi="黑体" w:eastAsia="仿宋_GB2312"/>
          <w:spacing w:val="10"/>
          <w:sz w:val="32"/>
          <w:szCs w:val="32"/>
        </w:rPr>
        <w:t>%</w:t>
      </w:r>
      <w:r>
        <w:rPr>
          <w:rFonts w:hint="eastAsia" w:ascii="仿宋_GB2312" w:hAnsi="黑体" w:eastAsia="仿宋_GB2312"/>
          <w:spacing w:val="10"/>
          <w:sz w:val="32"/>
          <w:szCs w:val="32"/>
        </w:rPr>
        <w:t>。</w:t>
      </w:r>
    </w:p>
    <w:p>
      <w:pPr>
        <w:spacing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1.项目绩效目标完成情况。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年度单位决算中反映残疾儿童语言训练补助经费等1个项目绩效目标实际完成情况。</w:t>
      </w:r>
    </w:p>
    <w:p>
      <w:pPr>
        <w:spacing w:line="580" w:lineRule="exact"/>
        <w:ind w:firstLine="735"/>
        <w:jc w:val="left"/>
      </w:pPr>
      <w:r>
        <w:rPr>
          <w:rFonts w:hint="eastAsia" w:ascii="仿宋_GB2312" w:hAnsi="仿宋_GB2312" w:eastAsia="仿宋_GB2312" w:cs="仿宋_GB2312"/>
          <w:b/>
          <w:bCs/>
          <w:sz w:val="32"/>
          <w:szCs w:val="32"/>
        </w:rPr>
        <w:t>残疾儿童语言训练补助经费项目绩效目标完成情况综述。</w:t>
      </w:r>
      <w:r>
        <w:rPr>
          <w:rFonts w:hint="eastAsia" w:ascii="仿宋_GB2312" w:hAnsi="仿宋_GB2312" w:eastAsia="仿宋_GB2312" w:cs="仿宋_GB2312"/>
          <w:sz w:val="32"/>
          <w:szCs w:val="32"/>
        </w:rPr>
        <w:t>项目全年预算数120万元，执行数为120万元，完成预算的100%。通过项目实施，</w:t>
      </w:r>
      <w:r>
        <w:rPr>
          <w:rFonts w:hint="eastAsia" w:ascii="仿宋_GB2312" w:hAnsi="黑体" w:eastAsia="仿宋_GB2312"/>
          <w:spacing w:val="10"/>
          <w:sz w:val="32"/>
          <w:szCs w:val="32"/>
        </w:rPr>
        <w:t>有</w:t>
      </w:r>
      <w:r>
        <w:rPr>
          <w:rFonts w:ascii="仿宋_GB2312" w:hAnsi="黑体" w:eastAsia="仿宋_GB2312"/>
          <w:spacing w:val="10"/>
          <w:sz w:val="32"/>
          <w:szCs w:val="32"/>
        </w:rPr>
        <w:t>来自全省</w:t>
      </w:r>
      <w:r>
        <w:rPr>
          <w:rFonts w:hint="eastAsia" w:ascii="仿宋_GB2312" w:hAnsi="黑体" w:eastAsia="仿宋_GB2312"/>
          <w:spacing w:val="10"/>
          <w:sz w:val="32"/>
          <w:szCs w:val="32"/>
        </w:rPr>
        <w:t>120名听障</w:t>
      </w:r>
      <w:r>
        <w:rPr>
          <w:rFonts w:ascii="仿宋_GB2312" w:hAnsi="黑体" w:eastAsia="仿宋_GB2312"/>
          <w:spacing w:val="10"/>
          <w:sz w:val="32"/>
          <w:szCs w:val="32"/>
        </w:rPr>
        <w:t>儿童</w:t>
      </w:r>
      <w:r>
        <w:rPr>
          <w:rFonts w:hint="eastAsia" w:ascii="仿宋_GB2312" w:hAnsi="黑体" w:eastAsia="仿宋_GB2312"/>
          <w:spacing w:val="10"/>
          <w:sz w:val="32"/>
          <w:szCs w:val="32"/>
        </w:rPr>
        <w:t>受益</w:t>
      </w:r>
      <w:r>
        <w:rPr>
          <w:rFonts w:ascii="仿宋_GB2312" w:hAnsi="黑体" w:eastAsia="仿宋_GB2312"/>
          <w:spacing w:val="10"/>
          <w:sz w:val="32"/>
          <w:szCs w:val="32"/>
        </w:rPr>
        <w:t>，</w:t>
      </w:r>
      <w:r>
        <w:rPr>
          <w:rFonts w:hint="eastAsia" w:ascii="仿宋_GB2312" w:hAnsi="黑体" w:eastAsia="仿宋_GB2312"/>
          <w:spacing w:val="10"/>
          <w:sz w:val="32"/>
          <w:szCs w:val="32"/>
        </w:rPr>
        <w:t>100</w:t>
      </w:r>
      <w:r>
        <w:rPr>
          <w:rFonts w:ascii="仿宋_GB2312" w:hAnsi="黑体" w:eastAsia="仿宋_GB2312"/>
          <w:spacing w:val="10"/>
          <w:sz w:val="32"/>
          <w:szCs w:val="32"/>
        </w:rPr>
        <w:t>%完成了目标</w:t>
      </w:r>
      <w:r>
        <w:rPr>
          <w:rFonts w:hint="eastAsia" w:ascii="仿宋_GB2312" w:hAnsi="黑体" w:eastAsia="仿宋_GB2312"/>
          <w:spacing w:val="10"/>
          <w:sz w:val="32"/>
          <w:szCs w:val="32"/>
        </w:rPr>
        <w:t>任务</w:t>
      </w:r>
      <w:r>
        <w:rPr>
          <w:rFonts w:ascii="仿宋_GB2312" w:hAnsi="黑体" w:eastAsia="仿宋_GB2312"/>
          <w:spacing w:val="10"/>
          <w:sz w:val="32"/>
          <w:szCs w:val="32"/>
        </w:rPr>
        <w:t>。</w:t>
      </w:r>
      <w:r>
        <w:rPr>
          <w:rFonts w:hint="eastAsia" w:ascii="仿宋_GB2312" w:hAnsi="黑体" w:eastAsia="仿宋_GB2312"/>
          <w:spacing w:val="10"/>
          <w:sz w:val="32"/>
          <w:szCs w:val="32"/>
        </w:rPr>
        <w:t>在</w:t>
      </w:r>
      <w:r>
        <w:rPr>
          <w:rFonts w:ascii="仿宋_GB2312" w:hAnsi="黑体" w:eastAsia="仿宋_GB2312"/>
          <w:spacing w:val="10"/>
          <w:sz w:val="32"/>
          <w:szCs w:val="32"/>
        </w:rPr>
        <w:t>项目管理方面，</w:t>
      </w:r>
      <w:r>
        <w:rPr>
          <w:rFonts w:hint="eastAsia" w:ascii="仿宋_GB2312" w:hAnsi="黑体" w:eastAsia="仿宋_GB2312"/>
          <w:spacing w:val="10"/>
          <w:sz w:val="32"/>
          <w:szCs w:val="32"/>
        </w:rPr>
        <w:t>做到</w:t>
      </w:r>
      <w:r>
        <w:rPr>
          <w:rFonts w:ascii="仿宋_GB2312" w:hAnsi="黑体" w:eastAsia="仿宋_GB2312"/>
          <w:spacing w:val="10"/>
          <w:sz w:val="32"/>
          <w:szCs w:val="32"/>
        </w:rPr>
        <w:t>了</w:t>
      </w:r>
      <w:r>
        <w:rPr>
          <w:rFonts w:hint="eastAsia" w:ascii="仿宋_GB2312" w:hAnsi="黑体" w:eastAsia="仿宋_GB2312"/>
          <w:spacing w:val="10"/>
          <w:sz w:val="32"/>
          <w:szCs w:val="32"/>
        </w:rPr>
        <w:t>“三</w:t>
      </w:r>
      <w:r>
        <w:rPr>
          <w:rFonts w:ascii="仿宋_GB2312" w:hAnsi="黑体" w:eastAsia="仿宋_GB2312"/>
          <w:spacing w:val="10"/>
          <w:sz w:val="32"/>
          <w:szCs w:val="32"/>
        </w:rPr>
        <w:t>有</w:t>
      </w:r>
      <w:r>
        <w:rPr>
          <w:rFonts w:hint="eastAsia" w:ascii="仿宋_GB2312" w:hAnsi="黑体" w:eastAsia="仿宋_GB2312"/>
          <w:spacing w:val="10"/>
          <w:sz w:val="32"/>
          <w:szCs w:val="32"/>
        </w:rPr>
        <w:t>”即有所有听障</w:t>
      </w:r>
      <w:r>
        <w:rPr>
          <w:rFonts w:ascii="仿宋_GB2312" w:hAnsi="黑体" w:eastAsia="仿宋_GB2312"/>
          <w:spacing w:val="10"/>
          <w:sz w:val="32"/>
          <w:szCs w:val="32"/>
        </w:rPr>
        <w:t>儿童</w:t>
      </w:r>
      <w:r>
        <w:rPr>
          <w:rFonts w:hint="eastAsia" w:ascii="仿宋_GB2312" w:hAnsi="黑体" w:eastAsia="仿宋_GB2312"/>
          <w:spacing w:val="10"/>
          <w:sz w:val="32"/>
          <w:szCs w:val="32"/>
        </w:rPr>
        <w:t>的项目申请表</w:t>
      </w:r>
      <w:r>
        <w:rPr>
          <w:rFonts w:ascii="仿宋_GB2312" w:hAnsi="黑体" w:eastAsia="仿宋_GB2312"/>
          <w:spacing w:val="10"/>
          <w:sz w:val="32"/>
          <w:szCs w:val="32"/>
        </w:rPr>
        <w:t>、有</w:t>
      </w:r>
      <w:r>
        <w:rPr>
          <w:rFonts w:hint="eastAsia" w:ascii="仿宋_GB2312" w:hAnsi="黑体" w:eastAsia="仿宋_GB2312"/>
          <w:spacing w:val="10"/>
          <w:sz w:val="32"/>
          <w:szCs w:val="32"/>
        </w:rPr>
        <w:t>120名</w:t>
      </w:r>
      <w:r>
        <w:rPr>
          <w:rFonts w:ascii="仿宋_GB2312" w:hAnsi="黑体" w:eastAsia="仿宋_GB2312"/>
          <w:spacing w:val="10"/>
          <w:sz w:val="32"/>
          <w:szCs w:val="32"/>
        </w:rPr>
        <w:t>听障儿童</w:t>
      </w:r>
      <w:r>
        <w:rPr>
          <w:rFonts w:hint="eastAsia" w:ascii="仿宋_GB2312" w:hAnsi="黑体" w:eastAsia="仿宋_GB2312"/>
          <w:spacing w:val="10"/>
          <w:sz w:val="32"/>
          <w:szCs w:val="32"/>
        </w:rPr>
        <w:t>汇总</w:t>
      </w:r>
      <w:r>
        <w:rPr>
          <w:rFonts w:ascii="仿宋_GB2312" w:hAnsi="黑体" w:eastAsia="仿宋_GB2312"/>
          <w:spacing w:val="10"/>
          <w:sz w:val="32"/>
          <w:szCs w:val="32"/>
        </w:rPr>
        <w:t>表、</w:t>
      </w:r>
      <w:r>
        <w:rPr>
          <w:rFonts w:hint="eastAsia" w:ascii="仿宋_GB2312" w:hAnsi="黑体" w:eastAsia="仿宋_GB2312"/>
          <w:spacing w:val="10"/>
          <w:sz w:val="32"/>
          <w:szCs w:val="32"/>
        </w:rPr>
        <w:t>有听障</w:t>
      </w:r>
      <w:r>
        <w:rPr>
          <w:rFonts w:ascii="仿宋_GB2312" w:hAnsi="黑体" w:eastAsia="仿宋_GB2312"/>
          <w:spacing w:val="10"/>
          <w:sz w:val="32"/>
          <w:szCs w:val="32"/>
        </w:rPr>
        <w:t>儿童完整</w:t>
      </w:r>
      <w:r>
        <w:rPr>
          <w:rFonts w:hint="eastAsia" w:ascii="仿宋_GB2312" w:hAnsi="黑体" w:eastAsia="仿宋_GB2312"/>
          <w:spacing w:val="10"/>
          <w:sz w:val="32"/>
          <w:szCs w:val="32"/>
        </w:rPr>
        <w:t>的</w:t>
      </w:r>
      <w:r>
        <w:rPr>
          <w:rFonts w:ascii="仿宋_GB2312" w:hAnsi="黑体" w:eastAsia="仿宋_GB2312"/>
          <w:spacing w:val="10"/>
          <w:sz w:val="32"/>
          <w:szCs w:val="32"/>
        </w:rPr>
        <w:t>康复</w:t>
      </w:r>
      <w:r>
        <w:rPr>
          <w:rFonts w:hint="eastAsia" w:ascii="仿宋_GB2312" w:hAnsi="黑体" w:eastAsia="仿宋_GB2312"/>
          <w:spacing w:val="10"/>
          <w:sz w:val="32"/>
          <w:szCs w:val="32"/>
        </w:rPr>
        <w:t>档案。并且</w:t>
      </w:r>
      <w:r>
        <w:rPr>
          <w:rFonts w:ascii="仿宋_GB2312" w:hAnsi="黑体" w:eastAsia="仿宋_GB2312"/>
          <w:spacing w:val="10"/>
          <w:sz w:val="32"/>
          <w:szCs w:val="32"/>
        </w:rPr>
        <w:t>，年初制定</w:t>
      </w:r>
      <w:r>
        <w:rPr>
          <w:rFonts w:hint="eastAsia" w:ascii="仿宋_GB2312" w:hAnsi="黑体" w:eastAsia="仿宋_GB2312"/>
          <w:spacing w:val="10"/>
          <w:sz w:val="32"/>
          <w:szCs w:val="32"/>
        </w:rPr>
        <w:t>的</w:t>
      </w:r>
      <w:r>
        <w:rPr>
          <w:rFonts w:ascii="仿宋_GB2312" w:hAnsi="黑体" w:eastAsia="仿宋_GB2312"/>
          <w:spacing w:val="10"/>
          <w:sz w:val="32"/>
          <w:szCs w:val="32"/>
        </w:rPr>
        <w:t>评价指标全部完成。</w:t>
      </w:r>
      <w:r>
        <w:rPr>
          <w:rFonts w:hint="eastAsia" w:ascii="仿宋_GB2312" w:hAnsi="黑体" w:eastAsia="仿宋_GB2312"/>
          <w:spacing w:val="10"/>
          <w:sz w:val="32"/>
          <w:szCs w:val="32"/>
        </w:rPr>
        <w:t>发现的主要问题：国家项目聋儿康复训练补贴过低，不能够满足机构训练的正常支出，只有通过省级</w:t>
      </w:r>
      <w:r>
        <w:rPr>
          <w:rFonts w:hint="eastAsia" w:ascii="仿宋_GB2312" w:hAnsi="仿宋_GB2312" w:eastAsia="仿宋_GB2312" w:cs="仿宋_GB2312"/>
          <w:b w:val="0"/>
          <w:bCs w:val="0"/>
          <w:sz w:val="32"/>
          <w:szCs w:val="32"/>
        </w:rPr>
        <w:t>残疾儿童语言训练补助经费弥补</w:t>
      </w:r>
      <w:r>
        <w:rPr>
          <w:rFonts w:hint="eastAsia" w:ascii="仿宋_GB2312" w:hAnsi="仿宋_GB2312" w:eastAsia="仿宋_GB2312" w:cs="仿宋_GB2312"/>
          <w:b/>
          <w:bCs/>
          <w:sz w:val="32"/>
          <w:szCs w:val="32"/>
        </w:rPr>
        <w:t>。</w:t>
      </w:r>
      <w:r>
        <w:rPr>
          <w:rFonts w:hint="eastAsia" w:ascii="仿宋_GB2312" w:hAnsi="黑体" w:eastAsia="仿宋_GB2312"/>
          <w:spacing w:val="10"/>
          <w:sz w:val="32"/>
          <w:szCs w:val="32"/>
        </w:rPr>
        <w:t>下一步改进措施建议根据实际情况，出台相关政策，提高残疾儿童康复训练补贴标准</w:t>
      </w:r>
      <w:r>
        <w:rPr>
          <w:rFonts w:ascii="仿宋_GB2312" w:hAnsi="黑体" w:eastAsia="仿宋_GB2312"/>
          <w:spacing w:val="10"/>
          <w:sz w:val="32"/>
          <w:szCs w:val="32"/>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5"/>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2.事业收入：指事业单位开展专业业务活动及辅助活动所取得的收入，即聋儿训练收入和听力测试等。</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3.年初结转和结余：指以前年度尚未完成、结转到本年按有关规定继续使用的资金。</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4.教育支出（类）进修及培训（款）培训支出（项）：反映各部门安排的用于培训的支出。</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5.社会保障和就业支出（类）残疾人事业（款）残疾人康复（项）：指反映残疾人联合会用于残疾人康复方面的支出。</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6.基本支出：指为保障机构正常运转、完成日常工作任务而发生的人员支出和公用支出。</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7.项目支出：指在基本支出之外为完成特定行政任务和事业发展目标所发生的支出。</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3"/>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25"/>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3"/>
        <w:tblpPr w:leftFromText="180" w:rightFromText="180" w:vertAnchor="text" w:horzAnchor="page" w:tblpXSpec="center" w:tblpY="660"/>
        <w:tblOverlap w:val="never"/>
        <w:tblW w:w="98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省残联（510901）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省听力语言看复中心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val="en-US" w:eastAsia="zh-CN"/>
              </w:rPr>
              <w:t>120万元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1200" w:firstLineChars="500"/>
              <w:jc w:val="both"/>
              <w:textAlignment w:val="center"/>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val="en-US" w:eastAsia="zh-CN"/>
              </w:rPr>
              <w:t>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cs="宋体"/>
                <w:sz w:val="24"/>
              </w:rPr>
              <w:t>通过实施贫困残疾儿童语言康复训练项目，妥善解决残疾儿童耳蜗手术后语言能力提升问题，提高残疾儿童生活和社会参与能力。</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cs="宋体"/>
                <w:sz w:val="24"/>
              </w:rPr>
              <w:t>完成120名残疾儿童语言训练，参与训练的残疾儿童语言能力有了不同程度的提升，提高了残疾儿童生活和社会参与能力。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jc w:val="center"/>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受益残疾儿童人数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120人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120人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聋儿语言能力提升率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补助聋儿训练经费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1万元/年.人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1万元/年.人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残疾儿童融入社会能力</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有所提升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救助残疾儿童及家长满意度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95%</w:t>
            </w: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57"/>
    </w:p>
    <w:p>
      <w:pPr>
        <w:pStyle w:val="4"/>
        <w:rPr>
          <w:rStyle w:val="26"/>
          <w:rFonts w:ascii="仿宋" w:hAnsi="仿宋" w:eastAsia="仿宋"/>
          <w:b w:val="0"/>
          <w:bCs w:val="0"/>
          <w:color w:val="auto"/>
          <w:highlight w:val="none"/>
        </w:rPr>
      </w:pPr>
      <w:bookmarkStart w:id="58"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65"/>
    </w:p>
    <w:p>
      <w:pPr>
        <w:pStyle w:val="4"/>
        <w:rPr>
          <w:rStyle w:val="26"/>
          <w:rFonts w:hint="eastAsia" w:ascii="仿宋" w:hAnsi="仿宋" w:eastAsia="仿宋"/>
          <w:b w:val="0"/>
          <w:bCs w:val="0"/>
          <w:color w:val="auto"/>
          <w:highlight w:val="none"/>
        </w:rPr>
      </w:pPr>
      <w:bookmarkStart w:id="66"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68402"/>
    <w:multiLevelType w:val="singleLevel"/>
    <w:tmpl w:val="C6D68402"/>
    <w:lvl w:ilvl="0" w:tentative="0">
      <w:start w:val="4"/>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8A33A8D"/>
    <w:multiLevelType w:val="singleLevel"/>
    <w:tmpl w:val="D8A33A8D"/>
    <w:lvl w:ilvl="0" w:tentative="0">
      <w:start w:val="1"/>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ZTY4ZjBiYjk3Y2UzN2Y0ZTg3MWMyNzk4ZjIxY2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72527"/>
    <w:rsid w:val="069D3DC3"/>
    <w:rsid w:val="079F78C8"/>
    <w:rsid w:val="082E22DB"/>
    <w:rsid w:val="09C0553C"/>
    <w:rsid w:val="0A2032A3"/>
    <w:rsid w:val="0B8A37D8"/>
    <w:rsid w:val="10C055FF"/>
    <w:rsid w:val="118107EC"/>
    <w:rsid w:val="11DD6519"/>
    <w:rsid w:val="12A713C2"/>
    <w:rsid w:val="16BB723D"/>
    <w:rsid w:val="18015F3F"/>
    <w:rsid w:val="1879570F"/>
    <w:rsid w:val="18C86459"/>
    <w:rsid w:val="1BE8440E"/>
    <w:rsid w:val="1D155CEE"/>
    <w:rsid w:val="20F57F95"/>
    <w:rsid w:val="240371BF"/>
    <w:rsid w:val="254F0A30"/>
    <w:rsid w:val="25C741E6"/>
    <w:rsid w:val="27842671"/>
    <w:rsid w:val="29FD04D3"/>
    <w:rsid w:val="2ABE7A3E"/>
    <w:rsid w:val="2EFA178C"/>
    <w:rsid w:val="30B46D73"/>
    <w:rsid w:val="319F7F4E"/>
    <w:rsid w:val="39AE70AB"/>
    <w:rsid w:val="3C0C0783"/>
    <w:rsid w:val="3F9F3A96"/>
    <w:rsid w:val="415626DA"/>
    <w:rsid w:val="493C27E9"/>
    <w:rsid w:val="496F39ED"/>
    <w:rsid w:val="49FF41D3"/>
    <w:rsid w:val="4BE068DB"/>
    <w:rsid w:val="4BF6002B"/>
    <w:rsid w:val="4DFF1043"/>
    <w:rsid w:val="4ECE2238"/>
    <w:rsid w:val="51DB4B86"/>
    <w:rsid w:val="55333C3E"/>
    <w:rsid w:val="5EC120C9"/>
    <w:rsid w:val="61A47FE4"/>
    <w:rsid w:val="64CA39A1"/>
    <w:rsid w:val="6C4A05C8"/>
    <w:rsid w:val="6D6662A5"/>
    <w:rsid w:val="6F283CF1"/>
    <w:rsid w:val="702F0CF2"/>
    <w:rsid w:val="72734D90"/>
    <w:rsid w:val="75F95F54"/>
    <w:rsid w:val="78BB0E41"/>
    <w:rsid w:val="79E7B28D"/>
    <w:rsid w:val="7D795337"/>
    <w:rsid w:val="7F9F20EE"/>
    <w:rsid w:val="9E3A10E2"/>
    <w:rsid w:val="EBF74187"/>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100" w:beforeAutospacing="1" w:after="100" w:afterAutospacing="1"/>
      <w:jc w:val="left"/>
    </w:pPr>
    <w:rPr>
      <w:rFonts w:ascii="Calibri" w:hAnsi="Calibri"/>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21.12.24.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6032;&#24314;%20&#26149;&#23395;&#36864;&#36153;&#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26032;&#24314;%20&#26149;&#23395;&#36864;&#36153;&#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26032;&#24314;%20&#26149;&#23395;&#36864;&#36153;&#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26032;&#24314;%20&#26149;&#23395;&#36864;&#36153;&#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Lbls>
            <c:delete val="1"/>
          </c:dLbls>
          <c:cat>
            <c:strRef>
              <c:f>[2021.12.24.xls]Sheet1!$A$1:$A$2</c:f>
              <c:strCache>
                <c:ptCount val="2"/>
                <c:pt idx="0">
                  <c:v>2020年度收、支总计456.35万元</c:v>
                </c:pt>
                <c:pt idx="1">
                  <c:v>2021年度收、支总计584.69万元</c:v>
                </c:pt>
              </c:strCache>
            </c:strRef>
          </c:cat>
          <c:val>
            <c:numRef>
              <c:f>[2021.12.24.xls]Sheet1!$B$1:$B$2</c:f>
              <c:numCache>
                <c:formatCode>General</c:formatCode>
                <c:ptCount val="2"/>
                <c:pt idx="0">
                  <c:v>456.35</c:v>
                </c:pt>
                <c:pt idx="1">
                  <c:v>584.69</c:v>
                </c:pt>
              </c:numCache>
            </c:numRef>
          </c:val>
        </c:ser>
        <c:dLbls>
          <c:showLegendKey val="0"/>
          <c:showVal val="0"/>
          <c:showCatName val="0"/>
          <c:showSerName val="0"/>
          <c:showPercent val="0"/>
          <c:showBubbleSize val="0"/>
        </c:dLbls>
        <c:gapWidth val="150"/>
        <c:overlap val="100"/>
        <c:axId val="320326959"/>
        <c:axId val="30446340"/>
      </c:barChart>
      <c:catAx>
        <c:axId val="32032695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46340"/>
        <c:crosses val="autoZero"/>
        <c:auto val="1"/>
        <c:lblAlgn val="ctr"/>
        <c:lblOffset val="100"/>
        <c:noMultiLvlLbl val="0"/>
      </c:catAx>
      <c:valAx>
        <c:axId val="304463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326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春季退费工作表.xlsx]Sheet2'!$A$1:$A$2</c:f>
              <c:strCache>
                <c:ptCount val="2"/>
                <c:pt idx="0">
                  <c:v>基本支出339.04万元</c:v>
                </c:pt>
                <c:pt idx="1">
                  <c:v>项目支出187.20万元</c:v>
                </c:pt>
              </c:strCache>
            </c:strRef>
          </c:cat>
          <c:val>
            <c:numRef>
              <c:f>'[新建 春季退费工作表.xlsx]Sheet2'!$B$1:$B$2</c:f>
              <c:numCache>
                <c:formatCode>0.00%</c:formatCode>
                <c:ptCount val="2"/>
                <c:pt idx="0">
                  <c:v>0.6443</c:v>
                </c:pt>
                <c:pt idx="1">
                  <c:v>0.3557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'[新建 春季退费工作表.xlsx]Sheet2'!$A$1:$A$2</c:f>
              <c:strCache>
                <c:ptCount val="2"/>
                <c:pt idx="0">
                  <c:v>2020年财政拨款收、支总计264.07万元</c:v>
                </c:pt>
                <c:pt idx="1">
                  <c:v>2021年财政拨款收、支总计221.61万元</c:v>
                </c:pt>
              </c:strCache>
            </c:strRef>
          </c:cat>
          <c:val>
            <c:numRef>
              <c:f>'[新建 春季退费工作表.xlsx]Sheet2'!$B$1:$B$2</c:f>
              <c:numCache>
                <c:formatCode>General</c:formatCode>
                <c:ptCount val="2"/>
                <c:pt idx="0">
                  <c:v>264.07</c:v>
                </c:pt>
                <c:pt idx="1">
                  <c:v>221.61</c:v>
                </c:pt>
              </c:numCache>
            </c:numRef>
          </c:val>
        </c:ser>
        <c:dLbls>
          <c:showLegendKey val="0"/>
          <c:showVal val="0"/>
          <c:showCatName val="0"/>
          <c:showSerName val="0"/>
          <c:showPercent val="0"/>
          <c:showBubbleSize val="0"/>
        </c:dLbls>
        <c:gapWidth val="219"/>
        <c:overlap val="-27"/>
        <c:axId val="511198294"/>
        <c:axId val="804483463"/>
      </c:barChart>
      <c:catAx>
        <c:axId val="5111982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483463"/>
        <c:crosses val="autoZero"/>
        <c:auto val="1"/>
        <c:lblAlgn val="ctr"/>
        <c:lblOffset val="100"/>
        <c:noMultiLvlLbl val="0"/>
      </c:catAx>
      <c:valAx>
        <c:axId val="804483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11982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'[新建 春季退费工作表.xlsx]Sheet2'!$A$1:$A$2</c:f>
              <c:strCache>
                <c:ptCount val="2"/>
                <c:pt idx="0">
                  <c:v>2020年一般公共预算财政拨款支出152.07万元</c:v>
                </c:pt>
                <c:pt idx="1">
                  <c:v>2021年一般公共预算财政拨款支出154.41万元</c:v>
                </c:pt>
              </c:strCache>
            </c:strRef>
          </c:cat>
          <c:val>
            <c:numRef>
              <c:f>'[新建 春季退费工作表.xlsx]Sheet2'!$B$1:$B$2</c:f>
              <c:numCache>
                <c:formatCode>General</c:formatCode>
                <c:ptCount val="2"/>
                <c:pt idx="0">
                  <c:v>152.07</c:v>
                </c:pt>
                <c:pt idx="1">
                  <c:v>154.41</c:v>
                </c:pt>
              </c:numCache>
            </c:numRef>
          </c:val>
        </c:ser>
        <c:dLbls>
          <c:showLegendKey val="0"/>
          <c:showVal val="0"/>
          <c:showCatName val="0"/>
          <c:showSerName val="0"/>
          <c:showPercent val="0"/>
          <c:showBubbleSize val="0"/>
        </c:dLbls>
        <c:gapWidth val="219"/>
        <c:overlap val="-27"/>
        <c:axId val="511198294"/>
        <c:axId val="804483463"/>
      </c:barChart>
      <c:catAx>
        <c:axId val="5111982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483463"/>
        <c:crosses val="autoZero"/>
        <c:auto val="1"/>
        <c:lblAlgn val="ctr"/>
        <c:lblOffset val="100"/>
        <c:noMultiLvlLbl val="0"/>
      </c:catAx>
      <c:valAx>
        <c:axId val="804483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11982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春季退费工作表.xlsx]Sheet2'!$A$1:$A$2</c:f>
              <c:strCache>
                <c:ptCount val="2"/>
                <c:pt idx="0">
                  <c:v>教育支出（类）10万元</c:v>
                </c:pt>
                <c:pt idx="1">
                  <c:v>社会保障和就业（类）支出144.41万元</c:v>
                </c:pt>
              </c:strCache>
            </c:strRef>
          </c:cat>
          <c:val>
            <c:numRef>
              <c:f>'[新建 春季退费工作表.xlsx]Sheet2'!$B$1:$B$2</c:f>
              <c:numCache>
                <c:formatCode>0.00%</c:formatCode>
                <c:ptCount val="2"/>
                <c:pt idx="0">
                  <c:v>0.0648</c:v>
                </c:pt>
                <c:pt idx="1">
                  <c:v>0.9352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4442</Words>
  <Characters>5595</Characters>
  <Lines>61</Lines>
  <Paragraphs>17</Paragraphs>
  <TotalTime>11</TotalTime>
  <ScaleCrop>false</ScaleCrop>
  <LinksUpToDate>false</LinksUpToDate>
  <CharactersWithSpaces>5611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森</cp:lastModifiedBy>
  <cp:lastPrinted>2022-08-06T10:23:00Z</cp:lastPrinted>
  <dcterms:modified xsi:type="dcterms:W3CDTF">2022-11-14T14:11:18Z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957E9E97F86041849D255717D1C29751</vt:lpwstr>
  </property>
</Properties>
</file>